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515050"/>
          <w:sz w:val="20"/>
          <w:szCs w:val="20"/>
          <w:lang w:eastAsia="pt-BR"/>
        </w:rPr>
        <w:t>ESTUDO DIRIGIDO DE CLÍNICA M</w:t>
      </w:r>
      <w:r w:rsidR="00C84F9B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ÉDICA DOS ANIMAIS DE COMPANHIA A</w:t>
      </w:r>
      <w:bookmarkStart w:id="0" w:name="_GoBack"/>
      <w:bookmarkEnd w:id="0"/>
      <w:r>
        <w:rPr>
          <w:rFonts w:ascii="Arial" w:eastAsia="Times New Roman" w:hAnsi="Arial" w:cs="Arial"/>
          <w:color w:val="515050"/>
          <w:sz w:val="20"/>
          <w:szCs w:val="20"/>
          <w:lang w:eastAsia="pt-BR"/>
        </w:rPr>
        <w:t>- 28/08/2017</w:t>
      </w:r>
    </w:p>
    <w:p w:rsid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</w:p>
    <w:p w:rsid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A degeneração valvar ou degeneração mixomatosa da valva ou ainda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endocardiose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é a doença cardíaca mais frequente em cães, correspondendo a </w:t>
      </w:r>
      <w:proofErr w:type="gram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cerca de 75</w:t>
      </w:r>
      <w:proofErr w:type="gram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% das cardiopatias. A condição consiste na degeneração mixomatosa crônica do aparato valvar, com espessamento e má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coaptação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dos folhetos, com ou sem prolapso, levando à insuficiência valvar. Apresenta progressão lenta, porém muitos cães evoluem para a insuficiência cardíaca congestiva (ICC), em cujos casos avançados o tempo de sobrevida é baixo, muitas vezes causando edema pulmonar e o óbito do animal.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b/>
          <w:bCs/>
          <w:color w:val="515050"/>
          <w:sz w:val="20"/>
          <w:szCs w:val="20"/>
          <w:lang w:eastAsia="pt-BR"/>
        </w:rPr>
        <w:t>Questão: </w:t>
      </w: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Com base nos conhecimentos sobre cardiologia veterinária e as figuras abaixo responda: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71205B" wp14:editId="0CBE9A7E">
            <wp:extent cx="2371725" cy="3371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428" t="12675" r="25297" b="7196"/>
                    <a:stretch/>
                  </pic:blipFill>
                  <pic:spPr bwMode="auto">
                    <a:xfrm>
                      <a:off x="0" y="0"/>
                      <a:ext cx="2372530" cy="337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5462">
        <w:rPr>
          <w:rFonts w:ascii="Arial" w:eastAsia="Times New Roman" w:hAnsi="Arial" w:cs="Arial"/>
          <w:noProof/>
          <w:color w:val="646464"/>
          <w:sz w:val="20"/>
          <w:szCs w:val="20"/>
          <w:bdr w:val="none" w:sz="0" w:space="0" w:color="auto" w:frame="1"/>
          <w:lang w:eastAsia="pt-BR"/>
        </w:rPr>
        <mc:AlternateContent>
          <mc:Choice Requires="wps">
            <w:drawing>
              <wp:inline distT="0" distB="0" distL="0" distR="0" wp14:anchorId="629DF47B" wp14:editId="60B8FC2E">
                <wp:extent cx="304800" cy="304800"/>
                <wp:effectExtent l="0" t="0" r="0" b="0"/>
                <wp:docPr id="1" name="Retângulo 1" descr="http://www.vet.ufmg.br/ARQUIVOS/FCK/image/caso-clinico5-%20imagem2-ok.jp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http://www.vet.ufmg.br/ARQUIVOS/FCK/image/caso-clinico5-%20imagem2-ok.jpg" href="http://www.vet.ufmg.br/ARQUIVOS/FCK/image/caso-clinico5- imagem2-ok.jp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I – A Esclerose nodular senil apresenta maior prevalência em valva mitral e em cães de pequeno porte, como Poodle, Pinscher e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Cavalier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King Charles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Spaniels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. Os sinais de insuficiência cardíaca congestiva possuem progressão mais rápida e severa nas fêmeas do que nos machos.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 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II – Com a progressão da regurgitação valvar mitral o organismo adota mecanismos compensatórios, como a ativação do sistema renina angiotensina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aldosterona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(SRAA), consequentemente há retenção de sódio e aumento da pressão arterial sistêmica. Outro mecanismo ativado é o sistema nervoso autônomo parassimpático, melhorando o débito cardíaco devido ao aumento da frequência cardíaca.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 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III – Na figura 1 observa-se uma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cardiomegalia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generalizada com deslocamento cranial da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traquéia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e padrão pulmonar alveolar característico de edema pulmonar. O VHS (vertebral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heart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size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) está maior que 10,5. Neste caso o animal deve receber terapêutica emergência com administração de furosemida intravenosa e se for possível realizar infusão contínua de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dobutamina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para aumentar o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inotropismo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do coração e assim melhorar o débito cardíaco até o paciente sair do estado crítico.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 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IV- Entre os marcadores cardíacos os mais importantes são: CK-MB e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Troponina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C para lesão cardíaca e Peptídeo natriurético para função cardíaca. A CK-MB apresenta baixa sensibilidade e baixa especificidade, contudo a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Troponina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C apresenta maior especificidade para injuria cardíaca, sendo o padrão ouro para os mamíferos.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 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V- Na figura 2, observa-se um caso de Cardiomiopatia Dilatada, a qual é comum em cães de grande porte como Labrador, Fila Brasileiro e Golden </w:t>
      </w:r>
      <w:proofErr w:type="spell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Retriever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. A terapêutica consiste </w:t>
      </w:r>
      <w:proofErr w:type="gramStart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em</w:t>
      </w:r>
      <w:r w:rsidR="00E87365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controlar a ICC e aumentar o </w:t>
      </w:r>
      <w:proofErr w:type="spellStart"/>
      <w:r w:rsidR="00E87365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i</w:t>
      </w: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notropismo</w:t>
      </w:r>
      <w:proofErr w:type="spell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do coração devido</w:t>
      </w:r>
      <w:proofErr w:type="gramEnd"/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 xml:space="preserve"> o adelgaçamento das paredes cardíacas.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 </w:t>
      </w:r>
    </w:p>
    <w:p w:rsidR="00F75462" w:rsidRPr="00F75462" w:rsidRDefault="00F75462" w:rsidP="00F754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vanish/>
          <w:sz w:val="20"/>
          <w:szCs w:val="20"/>
          <w:lang w:eastAsia="pt-BR"/>
        </w:rPr>
        <w:t>Parte superior do formulário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.25pt;height:18pt" o:ole="">
            <v:imagedata r:id="rId7" o:title=""/>
          </v:shape>
          <w:control r:id="rId8" w:name="DefaultOcxName" w:shapeid="_x0000_i1043"/>
        </w:object>
      </w: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 a) Apenas a I, II, IV e V estão corretas.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object w:dxaOrig="1440" w:dyaOrig="1440">
          <v:shape id="_x0000_i1042" type="#_x0000_t75" style="width:20.25pt;height:18pt" o:ole="">
            <v:imagedata r:id="rId7" o:title=""/>
          </v:shape>
          <w:control r:id="rId9" w:name="DefaultOcxName1" w:shapeid="_x0000_i1042"/>
        </w:object>
      </w: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 b) Apenas a I e a V estão corretas.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object w:dxaOrig="1440" w:dyaOrig="1440">
          <v:shape id="_x0000_i1041" type="#_x0000_t75" style="width:20.25pt;height:18pt" o:ole="">
            <v:imagedata r:id="rId7" o:title=""/>
          </v:shape>
          <w:control r:id="rId10" w:name="DefaultOcxName2" w:shapeid="_x0000_i1041"/>
        </w:object>
      </w: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 c) Apenas a IV e a V estão corretas.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object w:dxaOrig="1440" w:dyaOrig="1440">
          <v:shape id="_x0000_i1040" type="#_x0000_t75" style="width:20.25pt;height:18pt" o:ole="">
            <v:imagedata r:id="rId7" o:title=""/>
          </v:shape>
          <w:control r:id="rId11" w:name="DefaultOcxName3" w:shapeid="_x0000_i1040"/>
        </w:object>
      </w: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 d) Todas estão corretas.</w:t>
      </w:r>
    </w:p>
    <w:p w:rsidR="00F75462" w:rsidRPr="00F75462" w:rsidRDefault="00F75462" w:rsidP="00F7546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color w:val="515050"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object w:dxaOrig="1440" w:dyaOrig="1440">
          <v:shape id="_x0000_i1039" type="#_x0000_t75" style="width:20.25pt;height:18pt" o:ole="">
            <v:imagedata r:id="rId7" o:title=""/>
          </v:shape>
          <w:control r:id="rId12" w:name="DefaultOcxName4" w:shapeid="_x0000_i1039"/>
        </w:object>
      </w:r>
      <w:r w:rsidRPr="00F75462">
        <w:rPr>
          <w:rFonts w:ascii="Arial" w:eastAsia="Times New Roman" w:hAnsi="Arial" w:cs="Arial"/>
          <w:color w:val="515050"/>
          <w:sz w:val="20"/>
          <w:szCs w:val="20"/>
          <w:lang w:eastAsia="pt-BR"/>
        </w:rPr>
        <w:t> e) Todas estão erradas.</w:t>
      </w:r>
    </w:p>
    <w:p w:rsidR="00F75462" w:rsidRPr="00F75462" w:rsidRDefault="00F75462" w:rsidP="00F754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  <w:r w:rsidRPr="00F75462">
        <w:rPr>
          <w:rFonts w:ascii="Arial" w:eastAsia="Times New Roman" w:hAnsi="Arial" w:cs="Arial"/>
          <w:vanish/>
          <w:sz w:val="20"/>
          <w:szCs w:val="20"/>
          <w:lang w:eastAsia="pt-BR"/>
        </w:rPr>
        <w:t>Parte inferior do formulário</w:t>
      </w:r>
    </w:p>
    <w:p w:rsidR="009E57B7" w:rsidRPr="00F75462" w:rsidRDefault="009E57B7" w:rsidP="00F75462">
      <w:pPr>
        <w:spacing w:after="0"/>
        <w:rPr>
          <w:rFonts w:ascii="Arial" w:hAnsi="Arial" w:cs="Arial"/>
          <w:sz w:val="20"/>
          <w:szCs w:val="20"/>
        </w:rPr>
      </w:pPr>
    </w:p>
    <w:sectPr w:rsidR="009E57B7" w:rsidRPr="00F75462" w:rsidSect="00F75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62"/>
    <w:rsid w:val="009E57B7"/>
    <w:rsid w:val="00C84F9B"/>
    <w:rsid w:val="00E87365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462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754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754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754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754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462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754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754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754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754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t.ufmg.br/ARQUIVOS/FCK/image/caso-clinico5-%20imagem2-ok.jpg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</dc:creator>
  <cp:lastModifiedBy>Leonora</cp:lastModifiedBy>
  <cp:revision>3</cp:revision>
  <dcterms:created xsi:type="dcterms:W3CDTF">2017-08-24T03:37:00Z</dcterms:created>
  <dcterms:modified xsi:type="dcterms:W3CDTF">2017-08-24T03:37:00Z</dcterms:modified>
</cp:coreProperties>
</file>