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45" w:rsidRDefault="002F5345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Forte"/>
          <w:rFonts w:ascii="Verdana" w:eastAsia="Cataneo BT" w:hAnsi="Verdana" w:cs="Arial"/>
          <w:color w:val="323338"/>
          <w:sz w:val="18"/>
          <w:szCs w:val="18"/>
        </w:rPr>
      </w:pPr>
      <w:bookmarkStart w:id="0" w:name="_GoBack"/>
      <w:bookmarkEnd w:id="0"/>
      <w:r>
        <w:rPr>
          <w:rStyle w:val="Forte"/>
          <w:rFonts w:ascii="Verdana" w:eastAsia="Cataneo BT" w:hAnsi="Verdana" w:cs="Arial"/>
          <w:color w:val="323338"/>
          <w:sz w:val="18"/>
          <w:szCs w:val="18"/>
        </w:rPr>
        <w:t>RESPOSTA DO ESTUDO DIRIGIDO</w:t>
      </w:r>
      <w:r w:rsidR="000B5246">
        <w:rPr>
          <w:rStyle w:val="Forte"/>
          <w:rFonts w:ascii="Verdana" w:eastAsia="Cataneo BT" w:hAnsi="Verdana" w:cs="Arial"/>
          <w:color w:val="323338"/>
          <w:sz w:val="18"/>
          <w:szCs w:val="18"/>
        </w:rPr>
        <w:t xml:space="preserve"> CLÍNICA MÉDICA DOS ANIMAI</w:t>
      </w:r>
      <w:r w:rsidR="0090039F">
        <w:rPr>
          <w:rStyle w:val="Forte"/>
          <w:rFonts w:ascii="Verdana" w:eastAsia="Cataneo BT" w:hAnsi="Verdana" w:cs="Arial"/>
          <w:color w:val="323338"/>
          <w:sz w:val="18"/>
          <w:szCs w:val="18"/>
        </w:rPr>
        <w:t>S DE COMPANHIA</w:t>
      </w:r>
      <w:r>
        <w:rPr>
          <w:rStyle w:val="Forte"/>
          <w:rFonts w:ascii="Verdana" w:eastAsia="Cataneo BT" w:hAnsi="Verdana" w:cs="Arial"/>
          <w:color w:val="323338"/>
          <w:sz w:val="18"/>
          <w:szCs w:val="18"/>
        </w:rPr>
        <w:t xml:space="preserve"> – 04092017</w:t>
      </w:r>
    </w:p>
    <w:p w:rsidR="002F5345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Forte"/>
          <w:rFonts w:ascii="Verdana" w:eastAsia="Cataneo BT" w:hAnsi="Verdana" w:cs="Arial"/>
          <w:color w:val="323338"/>
          <w:sz w:val="18"/>
          <w:szCs w:val="18"/>
        </w:rPr>
      </w:pPr>
      <w:r w:rsidRPr="00801947">
        <w:rPr>
          <w:rStyle w:val="Forte"/>
          <w:rFonts w:ascii="Verdana" w:eastAsia="Cataneo BT" w:hAnsi="Verdana" w:cs="Arial"/>
          <w:color w:val="323338"/>
          <w:sz w:val="18"/>
          <w:szCs w:val="18"/>
        </w:rPr>
        <w:t>Os sinais clínicos:</w:t>
      </w:r>
    </w:p>
    <w:p w:rsidR="002F5345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- </w:t>
      </w:r>
      <w:proofErr w:type="gramStart"/>
      <w:r w:rsidRPr="00801947">
        <w:rPr>
          <w:rFonts w:ascii="Verdana" w:hAnsi="Verdana" w:cs="Arial"/>
          <w:color w:val="45484C"/>
          <w:sz w:val="18"/>
          <w:szCs w:val="18"/>
        </w:rPr>
        <w:t>História de lambedura excessiva ao redor da área perineal, e o pênis é</w:t>
      </w:r>
      <w:proofErr w:type="gramEnd"/>
      <w:r w:rsidRPr="00801947">
        <w:rPr>
          <w:rFonts w:ascii="Verdana" w:hAnsi="Verdana" w:cs="Arial"/>
          <w:color w:val="45484C"/>
          <w:sz w:val="18"/>
          <w:szCs w:val="18"/>
        </w:rPr>
        <w:t xml:space="preserve"> visto frequentemente expulso do prepúcio.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 xml:space="preserve">- Início agudo de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disúria.</w:t>
      </w:r>
      <w:r w:rsidR="002F5345">
        <w:rPr>
          <w:rFonts w:ascii="Verdana" w:hAnsi="Verdana" w:cs="Arial"/>
          <w:color w:val="45484C"/>
          <w:sz w:val="18"/>
          <w:szCs w:val="18"/>
        </w:rPr>
        <w:t>;</w:t>
      </w:r>
      <w:r w:rsidRPr="00801947">
        <w:rPr>
          <w:rFonts w:ascii="Verdana" w:hAnsi="Verdana" w:cs="Arial"/>
          <w:color w:val="45484C"/>
          <w:sz w:val="18"/>
          <w:szCs w:val="18"/>
        </w:rPr>
        <w:t>O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gato pode gritar durante a micção</w:t>
      </w:r>
      <w:r w:rsidR="002F5345">
        <w:rPr>
          <w:rFonts w:ascii="Verdana" w:hAnsi="Verdana" w:cs="Arial"/>
          <w:color w:val="45484C"/>
          <w:sz w:val="18"/>
          <w:szCs w:val="18"/>
        </w:rPr>
        <w:t xml:space="preserve">; </w:t>
      </w:r>
      <w:r w:rsidRPr="00801947">
        <w:rPr>
          <w:rFonts w:ascii="Verdana" w:hAnsi="Verdana" w:cs="Arial"/>
          <w:color w:val="45484C"/>
          <w:sz w:val="18"/>
          <w:szCs w:val="18"/>
        </w:rPr>
        <w:t>A inspeção do pênis pode mostrar um material farináceo esbranquiçado bloqueando o orifício da uretra e da ponta do pênis, traumatizada devido ao excesso de lamber. A palpação abdominal revela uma bexiga, firme, distendida e dolorosa à palpação. Os gatos obstruídos por mais de 48 horas podem mostrar pouco ou nenhum sinal de dor à palpação abdominal e nesses casos, a bexiga pode se romper se não for manuseada com extremo cuidado.</w:t>
      </w:r>
    </w:p>
    <w:p w:rsidR="00801947" w:rsidRPr="00801947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- Gatos com obstrução parcial podem ser capazes de manter uma bexiga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pequna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e não desenvolver insuficiência renal. Tais gatos mostram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estrangúria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>: micção dolorosa com um estreito fluxo de urina.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 xml:space="preserve">- Os sinais de uremia indicam obstrução completa por pelo menos 48 horas, levando à depressão, anorexia, vômitos, desidratação e hipotermia. A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hipercalemia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pode causar bradicardia ventricular, arritmia e fraqueza muscular generalizada. A acidose metabólica pode exacerbar os efeitos da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hipercalemia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sobre o miocárdio.</w:t>
      </w:r>
    </w:p>
    <w:p w:rsidR="00801947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Forte"/>
          <w:rFonts w:ascii="Verdana" w:eastAsia="Cataneo BT" w:hAnsi="Verdana" w:cs="Arial"/>
          <w:color w:val="323338"/>
          <w:sz w:val="18"/>
          <w:szCs w:val="18"/>
        </w:rPr>
      </w:pPr>
      <w:r w:rsidRPr="00801947">
        <w:rPr>
          <w:rStyle w:val="Forte"/>
          <w:rFonts w:ascii="Verdana" w:eastAsia="Cataneo BT" w:hAnsi="Verdana" w:cs="Arial"/>
          <w:color w:val="323338"/>
          <w:sz w:val="18"/>
          <w:szCs w:val="18"/>
        </w:rPr>
        <w:t>Patologia clínica:</w:t>
      </w:r>
    </w:p>
    <w:p w:rsidR="00801947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>- As alterações nos valores sanguíneos (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uréia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, potássio, creatinina, fósforo, </w:t>
      </w:r>
      <w:proofErr w:type="gramStart"/>
      <w:r w:rsidRPr="00801947">
        <w:rPr>
          <w:rFonts w:ascii="Verdana" w:hAnsi="Verdana" w:cs="Arial"/>
          <w:color w:val="45484C"/>
          <w:sz w:val="18"/>
          <w:szCs w:val="18"/>
        </w:rPr>
        <w:t>pH</w:t>
      </w:r>
      <w:proofErr w:type="gramEnd"/>
      <w:r w:rsidRPr="00801947">
        <w:rPr>
          <w:rFonts w:ascii="Verdana" w:hAnsi="Verdana" w:cs="Arial"/>
          <w:color w:val="45484C"/>
          <w:sz w:val="18"/>
          <w:szCs w:val="18"/>
        </w:rPr>
        <w:t>) dependem da gravidade da a insuficiência renal.</w:t>
      </w:r>
    </w:p>
    <w:p w:rsidR="00801947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>- Os valores séricos geralmente são normais em gatos com doença leve do trato urinário a menos que haja obstrução total do fluxo ou ruptura uretral.</w:t>
      </w:r>
    </w:p>
    <w:p w:rsidR="00801947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-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Azotemia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pós-renal (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uréia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aumentada, creatinina),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hiperfosfatemia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,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hipercalemia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tornam-se evidentes por 24 horas. A hipocalcemia é variável. Hiperglicemia leve pode estar presente.</w:t>
      </w:r>
    </w:p>
    <w:p w:rsidR="00801947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Forte"/>
          <w:rFonts w:ascii="Verdana" w:eastAsia="Cataneo BT" w:hAnsi="Verdana" w:cs="Arial"/>
          <w:color w:val="323338"/>
          <w:sz w:val="18"/>
          <w:szCs w:val="18"/>
        </w:rPr>
      </w:pPr>
      <w:r w:rsidRPr="00801947">
        <w:rPr>
          <w:rStyle w:val="Forte"/>
          <w:rFonts w:ascii="Verdana" w:eastAsia="Cataneo BT" w:hAnsi="Verdana" w:cs="Arial"/>
          <w:color w:val="323338"/>
          <w:sz w:val="18"/>
          <w:szCs w:val="18"/>
        </w:rPr>
        <w:t>O diagnóstico diferencial:</w:t>
      </w:r>
    </w:p>
    <w:p w:rsidR="002F5345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-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Urolitíase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>: ocorre mais frequentemente em gatos mais velhos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 xml:space="preserve">- obstrução uretral funcional: é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freqüentemente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associada com sinais neurológicos (incontinência</w:t>
      </w:r>
      <w:proofErr w:type="gramStart"/>
      <w:r w:rsidRPr="00801947">
        <w:rPr>
          <w:rFonts w:ascii="Verdana" w:hAnsi="Verdana" w:cs="Arial"/>
          <w:color w:val="45484C"/>
          <w:sz w:val="18"/>
          <w:szCs w:val="18"/>
        </w:rPr>
        <w:t>)</w:t>
      </w:r>
      <w:proofErr w:type="gramEnd"/>
      <w:r w:rsidRPr="00801947">
        <w:rPr>
          <w:rFonts w:ascii="Verdana" w:hAnsi="Verdana" w:cs="Arial"/>
          <w:color w:val="45484C"/>
          <w:sz w:val="18"/>
          <w:szCs w:val="18"/>
        </w:rPr>
        <w:br/>
        <w:t>- trauma uretral: geralmente tem uma história de trauma e lesões sugestivas.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Estenose: geralmente é precedido por uma história de cateterismo ou trauma.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Neoplasia</w:t>
      </w:r>
    </w:p>
    <w:p w:rsidR="00801947" w:rsidRPr="002F5345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Style w:val="Forte"/>
          <w:rFonts w:ascii="Verdana" w:eastAsia="Cataneo BT" w:hAnsi="Verdana" w:cs="Arial"/>
          <w:color w:val="323338"/>
          <w:sz w:val="18"/>
          <w:szCs w:val="18"/>
        </w:rPr>
        <w:t>Tratamento: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 xml:space="preserve">Depende da gravidade do quadro clínico. Se o gato não apresenta sinais clínicos de insuficiência renal ou não tem obstrução total por mais de 24-36 horas, alivia-se a obstrução uretral e restabelece-se o equilíbrio hidroeletrolítico por via subcutânea ou endovenosa (70 </w:t>
      </w:r>
      <w:proofErr w:type="spellStart"/>
      <w:proofErr w:type="gramStart"/>
      <w:r w:rsidRPr="00801947">
        <w:rPr>
          <w:rFonts w:ascii="Verdana" w:hAnsi="Verdana" w:cs="Arial"/>
          <w:color w:val="45484C"/>
          <w:sz w:val="18"/>
          <w:szCs w:val="18"/>
        </w:rPr>
        <w:t>mL</w:t>
      </w:r>
      <w:proofErr w:type="spellEnd"/>
      <w:proofErr w:type="gramEnd"/>
      <w:r w:rsidRPr="00801947">
        <w:rPr>
          <w:rFonts w:ascii="Verdana" w:hAnsi="Verdana" w:cs="Arial"/>
          <w:color w:val="45484C"/>
          <w:sz w:val="18"/>
          <w:szCs w:val="18"/>
        </w:rPr>
        <w:t xml:space="preserve">/kg).Se o gato está mostrando sinais de insuficiência renal, ou com obstrução por mais de 36-48 horas, a correção do desequilíbrio de fluidos e eletrólitos é prioritário à restauração da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patência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uretral.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 xml:space="preserve">Considerar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cistocentese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para o alívio temporário da distensão vesical. A correção hidroeletrolítica deve ser feita por via IV com solução salina e glicose a 5% a fim de hidratar o paciente durante 4-6 horas e reduzir a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hipercalemia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, acidose metabólica e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azotemia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>.</w:t>
      </w:r>
    </w:p>
    <w:p w:rsidR="00801947" w:rsidRPr="00801947" w:rsidRDefault="00801947" w:rsidP="00801947">
      <w:pPr>
        <w:pStyle w:val="NormalWeb"/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Se necessário,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antiinflamatórios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e antibióticos podem ser usados.</w:t>
      </w:r>
    </w:p>
    <w:p w:rsidR="00801947" w:rsidRPr="00801947" w:rsidRDefault="00801947" w:rsidP="00801947">
      <w:pPr>
        <w:pStyle w:val="NormalWeb"/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Os gatos com insuficiência renal são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freqüentemente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hipotérmicos e devem ser aquecidos à temperatura corporal normal. A obstrução deve sempre ser removida.</w:t>
      </w:r>
    </w:p>
    <w:p w:rsidR="00801947" w:rsidRPr="00801947" w:rsidRDefault="00801947" w:rsidP="00801947">
      <w:pPr>
        <w:pStyle w:val="NormalWeb"/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Ao realizar o cateterismo, o animal deve ser sedado (quando as condições clínicas permitirem –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opiáceos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,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acepromazina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,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diazepam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>) a fim de facilitar o procedimento e ajudar a minimizar o trauma uretral e ruptura de uretra ou bexiga. Traumas durante o cateterismo podem levar a inflamação com edema do tecido periuretral e obstrução funcional da uretra.</w:t>
      </w:r>
    </w:p>
    <w:p w:rsidR="00801947" w:rsidRPr="00801947" w:rsidRDefault="00801947" w:rsidP="00801947">
      <w:pPr>
        <w:pStyle w:val="NormalWeb"/>
        <w:shd w:val="clear" w:color="auto" w:fill="FFFFFF" w:themeFill="background1"/>
        <w:spacing w:before="0" w:beforeAutospacing="0" w:after="225" w:afterAutospacing="0"/>
        <w:jc w:val="both"/>
        <w:rPr>
          <w:rFonts w:ascii="Arial" w:hAnsi="Arial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 xml:space="preserve">A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Uretrostomia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perineal é o tratamento cirúrgico indicado para machos com crises recorrentes de doença obstrutiva. É um método de desvio permanente da uretra, onde a uretra peniana é excisada e a uretra pélvica é suturada à pele perineal.</w:t>
      </w:r>
    </w:p>
    <w:p w:rsidR="002F5345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Style w:val="Forte"/>
          <w:rFonts w:ascii="Verdana" w:eastAsia="Cataneo BT" w:hAnsi="Verdana" w:cs="Arial"/>
          <w:color w:val="323338"/>
          <w:sz w:val="18"/>
          <w:szCs w:val="18"/>
        </w:rPr>
        <w:t>Prevenção: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dietas não-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calcinogênicas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para minimizar a formação de cristais de </w:t>
      </w:r>
      <w:proofErr w:type="spellStart"/>
      <w:r w:rsidRPr="00801947">
        <w:rPr>
          <w:rFonts w:ascii="Verdana" w:hAnsi="Verdana" w:cs="Arial"/>
          <w:color w:val="45484C"/>
          <w:sz w:val="18"/>
          <w:szCs w:val="18"/>
        </w:rPr>
        <w:t>estruvita</w:t>
      </w:r>
      <w:proofErr w:type="spellEnd"/>
      <w:r w:rsidRPr="00801947">
        <w:rPr>
          <w:rFonts w:ascii="Verdana" w:hAnsi="Verdana" w:cs="Arial"/>
          <w:color w:val="45484C"/>
          <w:sz w:val="18"/>
          <w:szCs w:val="18"/>
        </w:rPr>
        <w:t xml:space="preserve"> e manter um </w:t>
      </w:r>
      <w:proofErr w:type="gramStart"/>
      <w:r w:rsidRPr="00801947">
        <w:rPr>
          <w:rFonts w:ascii="Verdana" w:hAnsi="Verdana" w:cs="Arial"/>
          <w:color w:val="45484C"/>
          <w:sz w:val="18"/>
          <w:szCs w:val="18"/>
        </w:rPr>
        <w:t>pH</w:t>
      </w:r>
      <w:proofErr w:type="gramEnd"/>
      <w:r w:rsidRPr="00801947">
        <w:rPr>
          <w:rFonts w:ascii="Verdana" w:hAnsi="Verdana" w:cs="Arial"/>
          <w:color w:val="45484C"/>
          <w:sz w:val="18"/>
          <w:szCs w:val="18"/>
        </w:rPr>
        <w:t xml:space="preserve"> urinário baixo (&lt;6,5) e baixa gravidade específica (&lt;1,030, idealmente 1,020).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Carne ou líquido com sabor de peixe ou água pode ser adicionado à dieta a fim de aumentar a ingestão de água.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incentivar o gato a beber água, fornecendo a água de acordo com a sua predileção: vasilha sempre cheia, água renovada diariamente, até mesmo, água corrente da bica, dentre outras.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Manter a caixa de areia em um local de fácil acesso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Estimular o animal a exercitar-se</w:t>
      </w:r>
    </w:p>
    <w:p w:rsidR="00801947" w:rsidRPr="002F5345" w:rsidRDefault="00801947" w:rsidP="002F5345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45484C"/>
          <w:sz w:val="18"/>
          <w:szCs w:val="18"/>
        </w:rPr>
      </w:pPr>
      <w:r w:rsidRPr="00801947">
        <w:rPr>
          <w:rFonts w:ascii="Verdana" w:hAnsi="Verdana" w:cs="Arial"/>
          <w:color w:val="45484C"/>
          <w:sz w:val="18"/>
          <w:szCs w:val="18"/>
        </w:rPr>
        <w:t>- Minimizar o estresse</w:t>
      </w:r>
      <w:r w:rsidRPr="00801947">
        <w:rPr>
          <w:rFonts w:ascii="Verdana" w:hAnsi="Verdana" w:cs="Arial"/>
          <w:color w:val="45484C"/>
          <w:sz w:val="18"/>
          <w:szCs w:val="18"/>
        </w:rPr>
        <w:br/>
        <w:t>- Evitar obesid</w:t>
      </w:r>
      <w:r>
        <w:rPr>
          <w:rFonts w:ascii="Verdana" w:hAnsi="Verdana" w:cs="Arial"/>
          <w:color w:val="45484C"/>
          <w:sz w:val="18"/>
          <w:szCs w:val="18"/>
        </w:rPr>
        <w:t>ade.</w:t>
      </w:r>
    </w:p>
    <w:p w:rsidR="00C8617F" w:rsidRPr="00801947" w:rsidRDefault="00DA10F6" w:rsidP="00801947">
      <w:pPr>
        <w:shd w:val="clear" w:color="auto" w:fill="FFFFFF" w:themeFill="background1"/>
        <w:jc w:val="both"/>
        <w:rPr>
          <w:sz w:val="18"/>
          <w:szCs w:val="18"/>
        </w:rPr>
      </w:pPr>
    </w:p>
    <w:sectPr w:rsidR="00C8617F" w:rsidRPr="00801947" w:rsidSect="00801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7"/>
    <w:rsid w:val="000B5246"/>
    <w:rsid w:val="002F5345"/>
    <w:rsid w:val="00624955"/>
    <w:rsid w:val="00801947"/>
    <w:rsid w:val="008F30A3"/>
    <w:rsid w:val="0090039F"/>
    <w:rsid w:val="00A411B4"/>
    <w:rsid w:val="00C100D8"/>
    <w:rsid w:val="00CB1F11"/>
    <w:rsid w:val="00DA10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11"/>
    <w:pPr>
      <w:spacing w:after="160" w:line="259" w:lineRule="auto"/>
    </w:pPr>
    <w:rPr>
      <w:rFonts w:ascii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CB1F11"/>
    <w:pPr>
      <w:keepNext/>
      <w:keepLines/>
      <w:spacing w:after="15" w:line="250" w:lineRule="auto"/>
      <w:ind w:left="3619" w:right="2948" w:hanging="10"/>
      <w:jc w:val="center"/>
      <w:outlineLvl w:val="0"/>
    </w:pPr>
    <w:rPr>
      <w:rFonts w:ascii="Cataneo BT" w:eastAsia="Cataneo BT" w:hAnsi="Cataneo BT" w:cs="Cataneo BT"/>
      <w:color w:val="221F20"/>
      <w:sz w:val="38"/>
      <w:lang w:eastAsia="pt-BR"/>
    </w:rPr>
  </w:style>
  <w:style w:type="paragraph" w:styleId="Ttulo2">
    <w:name w:val="heading 2"/>
    <w:next w:val="Normal"/>
    <w:link w:val="Ttulo2Char"/>
    <w:unhideWhenUsed/>
    <w:qFormat/>
    <w:rsid w:val="00CB1F11"/>
    <w:pPr>
      <w:keepNext/>
      <w:keepLines/>
      <w:spacing w:after="0" w:line="259" w:lineRule="auto"/>
      <w:ind w:left="668" w:hanging="10"/>
      <w:jc w:val="center"/>
      <w:outlineLvl w:val="1"/>
    </w:pPr>
    <w:rPr>
      <w:rFonts w:ascii="Cataneo BT" w:eastAsia="Cataneo BT" w:hAnsi="Cataneo BT" w:cs="Cataneo BT"/>
      <w:b/>
      <w:color w:val="221F20"/>
      <w:sz w:val="26"/>
      <w:lang w:eastAsia="pt-BR"/>
    </w:rPr>
  </w:style>
  <w:style w:type="paragraph" w:styleId="Ttulo3">
    <w:name w:val="heading 3"/>
    <w:next w:val="Normal"/>
    <w:link w:val="Ttulo3Char"/>
    <w:unhideWhenUsed/>
    <w:qFormat/>
    <w:rsid w:val="00CB1F11"/>
    <w:pPr>
      <w:keepNext/>
      <w:keepLines/>
      <w:spacing w:after="11" w:line="249" w:lineRule="auto"/>
      <w:ind w:left="1578" w:hanging="10"/>
      <w:jc w:val="center"/>
      <w:outlineLvl w:val="2"/>
    </w:pPr>
    <w:rPr>
      <w:rFonts w:ascii="Garamond" w:eastAsia="Garamond" w:hAnsi="Garamond" w:cs="Garamond"/>
      <w:b/>
      <w:color w:val="221F20"/>
      <w:sz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color w:val="auto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F11"/>
    <w:rPr>
      <w:rFonts w:ascii="Cataneo BT" w:eastAsia="Cataneo BT" w:hAnsi="Cataneo BT" w:cs="Cataneo BT"/>
      <w:color w:val="221F20"/>
      <w:sz w:val="38"/>
      <w:lang w:eastAsia="pt-BR"/>
    </w:rPr>
  </w:style>
  <w:style w:type="character" w:customStyle="1" w:styleId="Ttulo2Char">
    <w:name w:val="Título 2 Char"/>
    <w:basedOn w:val="Fontepargpadro"/>
    <w:link w:val="Ttulo2"/>
    <w:rsid w:val="00CB1F11"/>
    <w:rPr>
      <w:rFonts w:ascii="Cataneo BT" w:eastAsia="Cataneo BT" w:hAnsi="Cataneo BT" w:cs="Cataneo BT"/>
      <w:b/>
      <w:color w:val="221F20"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CB1F11"/>
    <w:rPr>
      <w:rFonts w:ascii="Garamond" w:eastAsia="Garamond" w:hAnsi="Garamond" w:cs="Garamond"/>
      <w:b/>
      <w:color w:val="221F20"/>
      <w:sz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1F11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1F11"/>
    <w:rPr>
      <w:rFonts w:asciiTheme="majorHAnsi" w:eastAsiaTheme="majorEastAsia" w:hAnsiTheme="majorHAnsi" w:cstheme="majorBidi"/>
      <w:i/>
      <w:iCs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1F11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1F1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1F1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1F1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B1F1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B1F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CB1F1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1F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B1F11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CB1F11"/>
    <w:rPr>
      <w:b/>
      <w:bCs/>
    </w:rPr>
  </w:style>
  <w:style w:type="character" w:styleId="nfase">
    <w:name w:val="Emphasis"/>
    <w:basedOn w:val="Fontepargpadro"/>
    <w:uiPriority w:val="20"/>
    <w:qFormat/>
    <w:rsid w:val="00CB1F11"/>
    <w:rPr>
      <w:i/>
      <w:iCs/>
    </w:rPr>
  </w:style>
  <w:style w:type="paragraph" w:styleId="SemEspaamento">
    <w:name w:val="No Spacing"/>
    <w:uiPriority w:val="1"/>
    <w:qFormat/>
    <w:rsid w:val="00CB1F11"/>
    <w:pPr>
      <w:spacing w:after="0" w:line="240" w:lineRule="auto"/>
    </w:pPr>
    <w:rPr>
      <w:rFonts w:ascii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B1F1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B1F11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auto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CB1F11"/>
    <w:rPr>
      <w:rFonts w:eastAsiaTheme="minorEastAsia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1F1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1F11"/>
    <w:rPr>
      <w:rFonts w:asciiTheme="majorHAnsi" w:eastAsiaTheme="majorEastAsia" w:hAnsiTheme="majorHAnsi" w:cstheme="majorBidi"/>
      <w:color w:val="4F81BD" w:themeColor="accent1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CB1F1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B1F1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B1F11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CB1F11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CB1F11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1F11"/>
    <w:pPr>
      <w:pBdr>
        <w:bottom w:val="single" w:sz="4" w:space="1" w:color="4F81BD" w:themeColor="accent1"/>
      </w:pBdr>
      <w:spacing w:before="400" w:after="40" w:line="240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11"/>
    <w:pPr>
      <w:spacing w:after="160" w:line="259" w:lineRule="auto"/>
    </w:pPr>
    <w:rPr>
      <w:rFonts w:ascii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CB1F11"/>
    <w:pPr>
      <w:keepNext/>
      <w:keepLines/>
      <w:spacing w:after="15" w:line="250" w:lineRule="auto"/>
      <w:ind w:left="3619" w:right="2948" w:hanging="10"/>
      <w:jc w:val="center"/>
      <w:outlineLvl w:val="0"/>
    </w:pPr>
    <w:rPr>
      <w:rFonts w:ascii="Cataneo BT" w:eastAsia="Cataneo BT" w:hAnsi="Cataneo BT" w:cs="Cataneo BT"/>
      <w:color w:val="221F20"/>
      <w:sz w:val="38"/>
      <w:lang w:eastAsia="pt-BR"/>
    </w:rPr>
  </w:style>
  <w:style w:type="paragraph" w:styleId="Ttulo2">
    <w:name w:val="heading 2"/>
    <w:next w:val="Normal"/>
    <w:link w:val="Ttulo2Char"/>
    <w:unhideWhenUsed/>
    <w:qFormat/>
    <w:rsid w:val="00CB1F11"/>
    <w:pPr>
      <w:keepNext/>
      <w:keepLines/>
      <w:spacing w:after="0" w:line="259" w:lineRule="auto"/>
      <w:ind w:left="668" w:hanging="10"/>
      <w:jc w:val="center"/>
      <w:outlineLvl w:val="1"/>
    </w:pPr>
    <w:rPr>
      <w:rFonts w:ascii="Cataneo BT" w:eastAsia="Cataneo BT" w:hAnsi="Cataneo BT" w:cs="Cataneo BT"/>
      <w:b/>
      <w:color w:val="221F20"/>
      <w:sz w:val="26"/>
      <w:lang w:eastAsia="pt-BR"/>
    </w:rPr>
  </w:style>
  <w:style w:type="paragraph" w:styleId="Ttulo3">
    <w:name w:val="heading 3"/>
    <w:next w:val="Normal"/>
    <w:link w:val="Ttulo3Char"/>
    <w:unhideWhenUsed/>
    <w:qFormat/>
    <w:rsid w:val="00CB1F11"/>
    <w:pPr>
      <w:keepNext/>
      <w:keepLines/>
      <w:spacing w:after="11" w:line="249" w:lineRule="auto"/>
      <w:ind w:left="1578" w:hanging="10"/>
      <w:jc w:val="center"/>
      <w:outlineLvl w:val="2"/>
    </w:pPr>
    <w:rPr>
      <w:rFonts w:ascii="Garamond" w:eastAsia="Garamond" w:hAnsi="Garamond" w:cs="Garamond"/>
      <w:b/>
      <w:color w:val="221F20"/>
      <w:sz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color w:val="auto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1F1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F11"/>
    <w:rPr>
      <w:rFonts w:ascii="Cataneo BT" w:eastAsia="Cataneo BT" w:hAnsi="Cataneo BT" w:cs="Cataneo BT"/>
      <w:color w:val="221F20"/>
      <w:sz w:val="38"/>
      <w:lang w:eastAsia="pt-BR"/>
    </w:rPr>
  </w:style>
  <w:style w:type="character" w:customStyle="1" w:styleId="Ttulo2Char">
    <w:name w:val="Título 2 Char"/>
    <w:basedOn w:val="Fontepargpadro"/>
    <w:link w:val="Ttulo2"/>
    <w:rsid w:val="00CB1F11"/>
    <w:rPr>
      <w:rFonts w:ascii="Cataneo BT" w:eastAsia="Cataneo BT" w:hAnsi="Cataneo BT" w:cs="Cataneo BT"/>
      <w:b/>
      <w:color w:val="221F20"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CB1F11"/>
    <w:rPr>
      <w:rFonts w:ascii="Garamond" w:eastAsia="Garamond" w:hAnsi="Garamond" w:cs="Garamond"/>
      <w:b/>
      <w:color w:val="221F20"/>
      <w:sz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1F11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1F11"/>
    <w:rPr>
      <w:rFonts w:asciiTheme="majorHAnsi" w:eastAsiaTheme="majorEastAsia" w:hAnsiTheme="majorHAnsi" w:cstheme="majorBidi"/>
      <w:i/>
      <w:iCs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1F11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1F1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1F1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1F1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B1F1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B1F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CB1F1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B1F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B1F11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CB1F11"/>
    <w:rPr>
      <w:b/>
      <w:bCs/>
    </w:rPr>
  </w:style>
  <w:style w:type="character" w:styleId="nfase">
    <w:name w:val="Emphasis"/>
    <w:basedOn w:val="Fontepargpadro"/>
    <w:uiPriority w:val="20"/>
    <w:qFormat/>
    <w:rsid w:val="00CB1F11"/>
    <w:rPr>
      <w:i/>
      <w:iCs/>
    </w:rPr>
  </w:style>
  <w:style w:type="paragraph" w:styleId="SemEspaamento">
    <w:name w:val="No Spacing"/>
    <w:uiPriority w:val="1"/>
    <w:qFormat/>
    <w:rsid w:val="00CB1F11"/>
    <w:pPr>
      <w:spacing w:after="0" w:line="240" w:lineRule="auto"/>
    </w:pPr>
    <w:rPr>
      <w:rFonts w:ascii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B1F1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B1F11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auto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rsid w:val="00CB1F11"/>
    <w:rPr>
      <w:rFonts w:eastAsiaTheme="minorEastAsia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1F1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1F11"/>
    <w:rPr>
      <w:rFonts w:asciiTheme="majorHAnsi" w:eastAsiaTheme="majorEastAsia" w:hAnsiTheme="majorHAnsi" w:cstheme="majorBidi"/>
      <w:color w:val="4F81BD" w:themeColor="accent1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CB1F11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B1F1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B1F11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CB1F11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CB1F11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1F11"/>
    <w:pPr>
      <w:pBdr>
        <w:bottom w:val="single" w:sz="4" w:space="1" w:color="4F81BD" w:themeColor="accent1"/>
      </w:pBdr>
      <w:spacing w:before="400" w:after="40" w:line="240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Leonora</cp:lastModifiedBy>
  <cp:revision>2</cp:revision>
  <dcterms:created xsi:type="dcterms:W3CDTF">2017-09-12T21:33:00Z</dcterms:created>
  <dcterms:modified xsi:type="dcterms:W3CDTF">2017-09-12T21:33:00Z</dcterms:modified>
</cp:coreProperties>
</file>